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9635"/>
      </w:tblGrid>
      <w:tr w:rsidR="002F4B9D" w:rsidRPr="002F4B9D" w:rsidTr="002F4B9D">
        <w:tc>
          <w:tcPr>
            <w:tcW w:w="9655" w:type="dxa"/>
            <w:gridSpan w:val="2"/>
            <w:shd w:val="clear" w:color="auto" w:fill="FFFFFF"/>
            <w:tcMar>
              <w:top w:w="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2F4B9D" w:rsidRPr="002F4B9D" w:rsidRDefault="002F4B9D" w:rsidP="002F4B9D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color w:val="3C4044"/>
                <w:sz w:val="24"/>
                <w:szCs w:val="24"/>
                <w:lang w:eastAsia="ru-RU"/>
              </w:rPr>
            </w:pPr>
            <w:bookmarkStart w:id="0" w:name="m_3795368970059909736_a1"/>
            <w:proofErr w:type="spellStart"/>
            <w:r w:rsidRPr="002F4B9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>Сельхозземли</w:t>
            </w:r>
            <w:proofErr w:type="spellEnd"/>
            <w:r w:rsidRPr="002F4B9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ru-RU"/>
              </w:rPr>
              <w:t xml:space="preserve"> должны использоваться по назначению</w:t>
            </w:r>
            <w:r w:rsidRPr="002F4B9D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!</w:t>
            </w:r>
            <w:bookmarkEnd w:id="0"/>
          </w:p>
        </w:tc>
      </w:tr>
      <w:tr w:rsidR="002F4B9D" w:rsidRPr="002F4B9D" w:rsidTr="002F4B9D">
        <w:tc>
          <w:tcPr>
            <w:tcW w:w="20" w:type="dxa"/>
            <w:shd w:val="clear" w:color="auto" w:fill="FFFFFF"/>
            <w:vAlign w:val="center"/>
            <w:hideMark/>
          </w:tcPr>
          <w:p w:rsidR="002F4B9D" w:rsidRPr="002F4B9D" w:rsidRDefault="002F4B9D" w:rsidP="002F4B9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635" w:type="dxa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:rsidR="002F4B9D" w:rsidRPr="002F4B9D" w:rsidRDefault="002F4B9D" w:rsidP="002F4B9D">
            <w:pPr>
              <w:spacing w:before="160" w:after="80" w:line="240" w:lineRule="auto"/>
              <w:jc w:val="both"/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</w:pPr>
            <w:proofErr w:type="gramStart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Досье на проект федерального закона № 1007443-6 “О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в соответствии с целевым назначением или использовании с нарушением законодательства Российской Федерации” (в части совершенствования порядка изъятия земельных участков из земель сельскохозяйственного назначения при их ненадлежащем использовании) (внесен 29.02.2016 депутатами ГД</w:t>
            </w:r>
            <w:proofErr w:type="gramEnd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 xml:space="preserve"> Неверовым С.И., Васильевым В.А., Куликом Г.В., Панковым Н.В., членом СФ Горбуновым Г.А.)</w:t>
            </w:r>
          </w:p>
          <w:p w:rsidR="002F4B9D" w:rsidRPr="002F4B9D" w:rsidRDefault="002F4B9D" w:rsidP="002F4B9D">
            <w:pPr>
              <w:spacing w:before="100" w:beforeAutospacing="1" w:after="80" w:line="240" w:lineRule="auto"/>
              <w:jc w:val="both"/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</w:pPr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 xml:space="preserve">17.06.2016 Госдума приняла в третьем чтении поправки, нацеленные на вовлечение в оборот неиспользуемых земель </w:t>
            </w:r>
            <w:proofErr w:type="spellStart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, а также на совершенствование порядка изъятия таких земель при их ненадлежащем использовании. В частности, закрепляется, что участки из земель с/</w:t>
            </w:r>
            <w:proofErr w:type="spellStart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х</w:t>
            </w:r>
            <w:proofErr w:type="spellEnd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 xml:space="preserve"> назначения, находящиеся в границах сельских поселений и (или) расположенные на расстоянии не более 30 км от границ сельских населенных пунктов, не могут использоваться для целей, не связанных с ведением сельского хозяйства. </w:t>
            </w:r>
            <w:proofErr w:type="gramStart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Вероятно, государственные и муниципальные земли с/</w:t>
            </w:r>
            <w:proofErr w:type="spellStart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х</w:t>
            </w:r>
            <w:proofErr w:type="spellEnd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 xml:space="preserve"> назначения будут предоставляться в аренду на срок до 5 лет крестьянским (фермерским) хозяйствам, с/</w:t>
            </w:r>
            <w:proofErr w:type="spellStart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х</w:t>
            </w:r>
            <w:proofErr w:type="spellEnd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 xml:space="preserve"> организациям, участвующим в программах господдержки в сфере развития с/</w:t>
            </w:r>
            <w:proofErr w:type="spellStart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х</w:t>
            </w:r>
            <w:proofErr w:type="spellEnd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, для ведения с/</w:t>
            </w:r>
            <w:proofErr w:type="spellStart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х</w:t>
            </w:r>
            <w:proofErr w:type="spellEnd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 xml:space="preserve"> производства или связанной с ним деятельности без проведения торгов.</w:t>
            </w:r>
            <w:proofErr w:type="gramEnd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 xml:space="preserve"> Если в уполномоченный орган поступило несколько заявлений о предоставлении такого участка в аренду, то организуется аукцион. Согласно поправкам участок с/</w:t>
            </w:r>
            <w:proofErr w:type="spellStart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х</w:t>
            </w:r>
            <w:proofErr w:type="spellEnd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 xml:space="preserve"> назначения, если он не является предметом ипотеки или если в отношении его собственника судом не возбуждено дело о банкротстве, может быть изъят в судебном порядке в следующем случае. Это допускается, если в течение трех и более лет подряд (включая срок освоения участка, который в настоящее время не учитывается) </w:t>
            </w:r>
            <w:proofErr w:type="spellStart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c</w:t>
            </w:r>
            <w:proofErr w:type="spellEnd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 xml:space="preserve"> момента проведения государственного земельного надзора такой участок не используется по своему назначению. Прописывается процедура внесения </w:t>
            </w:r>
            <w:proofErr w:type="gramStart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в</w:t>
            </w:r>
            <w:proofErr w:type="gramEnd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Единый</w:t>
            </w:r>
            <w:proofErr w:type="gramEnd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госреестр</w:t>
            </w:r>
            <w:proofErr w:type="spellEnd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 xml:space="preserve"> недвижимости записи о невозможности </w:t>
            </w:r>
            <w:proofErr w:type="spellStart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госрегистрации</w:t>
            </w:r>
            <w:proofErr w:type="spellEnd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 xml:space="preserve"> перехода, прекращения, ограничения права на участок </w:t>
            </w:r>
            <w:proofErr w:type="spellStart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 w:rsidRPr="002F4B9D">
              <w:rPr>
                <w:rFonts w:ascii="Arial" w:eastAsia="Times New Roman" w:hAnsi="Arial" w:cs="Arial"/>
                <w:color w:val="2E3237"/>
                <w:sz w:val="24"/>
                <w:szCs w:val="24"/>
                <w:lang w:eastAsia="ru-RU"/>
              </w:rPr>
              <w:t xml:space="preserve"> или его обременения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законодательства.</w:t>
            </w:r>
          </w:p>
        </w:tc>
      </w:tr>
    </w:tbl>
    <w:p w:rsidR="00B82961" w:rsidRPr="002F4B9D" w:rsidRDefault="00B82961">
      <w:pPr>
        <w:rPr>
          <w:sz w:val="24"/>
          <w:szCs w:val="24"/>
        </w:rPr>
      </w:pPr>
    </w:p>
    <w:sectPr w:rsidR="00B82961" w:rsidRPr="002F4B9D" w:rsidSect="00B8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F4B9D"/>
    <w:rsid w:val="002F4B9D"/>
    <w:rsid w:val="00B82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61"/>
  </w:style>
  <w:style w:type="paragraph" w:styleId="3">
    <w:name w:val="heading 3"/>
    <w:basedOn w:val="a"/>
    <w:link w:val="30"/>
    <w:uiPriority w:val="9"/>
    <w:qFormat/>
    <w:rsid w:val="002F4B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4B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F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2050</Characters>
  <Application>Microsoft Office Word</Application>
  <DocSecurity>0</DocSecurity>
  <Lines>17</Lines>
  <Paragraphs>4</Paragraphs>
  <ScaleCrop>false</ScaleCrop>
  <Company>Hewlett-Packard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2016-06-22T10:26:00Z</dcterms:created>
  <dcterms:modified xsi:type="dcterms:W3CDTF">2016-06-22T10:28:00Z</dcterms:modified>
</cp:coreProperties>
</file>