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89" w:rsidRDefault="00585D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5D89" w:rsidRDefault="00585D89">
      <w:pPr>
        <w:pStyle w:val="ConsPlusNormal"/>
        <w:jc w:val="both"/>
        <w:outlineLvl w:val="0"/>
      </w:pPr>
    </w:p>
    <w:p w:rsidR="00585D89" w:rsidRDefault="00585D89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85D89" w:rsidRDefault="00585D89">
      <w:pPr>
        <w:pStyle w:val="ConsPlusTitle"/>
        <w:jc w:val="center"/>
      </w:pPr>
    </w:p>
    <w:p w:rsidR="00585D89" w:rsidRDefault="00585D89">
      <w:pPr>
        <w:pStyle w:val="ConsPlusTitle"/>
        <w:jc w:val="center"/>
      </w:pPr>
      <w:r>
        <w:t>ПИСЬМО</w:t>
      </w:r>
    </w:p>
    <w:p w:rsidR="00585D89" w:rsidRDefault="00585D89">
      <w:pPr>
        <w:pStyle w:val="ConsPlusTitle"/>
        <w:jc w:val="center"/>
      </w:pPr>
      <w:r>
        <w:t>от 26 сентября 2014 г. N ОГ-Д23-7359</w:t>
      </w:r>
    </w:p>
    <w:p w:rsidR="00585D89" w:rsidRDefault="00585D89">
      <w:pPr>
        <w:pStyle w:val="ConsPlusTitle"/>
        <w:jc w:val="center"/>
      </w:pPr>
    </w:p>
    <w:p w:rsidR="00585D89" w:rsidRDefault="00585D89">
      <w:pPr>
        <w:pStyle w:val="ConsPlusTitle"/>
        <w:jc w:val="center"/>
      </w:pPr>
      <w:r>
        <w:t>ПО ВОПРОСУ</w:t>
      </w:r>
    </w:p>
    <w:p w:rsidR="00585D89" w:rsidRDefault="00585D89">
      <w:pPr>
        <w:pStyle w:val="ConsPlusTitle"/>
        <w:jc w:val="center"/>
      </w:pPr>
      <w:r>
        <w:t>ЗАПОЛНЕНИЯ ТЕХНИЧЕСКОГО ПЛАНА В СЛУЧАЕ ВЫЯВЛЕНИЯ</w:t>
      </w:r>
    </w:p>
    <w:p w:rsidR="00585D89" w:rsidRDefault="00585D89">
      <w:pPr>
        <w:pStyle w:val="ConsPlusTitle"/>
        <w:jc w:val="center"/>
      </w:pPr>
      <w:r>
        <w:t>НЕСООТВЕТСТВИЯ СВЕДЕНИЙ О ФАКТИЧЕСКОМ РАСПОЛОЖЕНИИ ЗДАНИЯ</w:t>
      </w:r>
    </w:p>
    <w:p w:rsidR="00585D89" w:rsidRDefault="00585D89">
      <w:pPr>
        <w:pStyle w:val="ConsPlusTitle"/>
        <w:jc w:val="center"/>
      </w:pPr>
      <w:r>
        <w:t>НА ОПРЕДЕЛЕННОМ ЗЕМЕЛЬНОМ УЧАСТКЕ ТАКИМ СВЕДЕНИЯМ,</w:t>
      </w:r>
    </w:p>
    <w:p w:rsidR="00585D89" w:rsidRDefault="00585D89">
      <w:pPr>
        <w:pStyle w:val="ConsPlusTitle"/>
        <w:jc w:val="center"/>
      </w:pPr>
      <w:proofErr w:type="gramStart"/>
      <w:r>
        <w:t>СОДЕРЖАЩИМСЯ</w:t>
      </w:r>
      <w:proofErr w:type="gramEnd"/>
      <w:r>
        <w:t xml:space="preserve"> В ГОСУДАРСТВЕННОМ КАДАСТРЕ НЕДВИЖИМОСТИ</w:t>
      </w:r>
    </w:p>
    <w:p w:rsidR="00585D89" w:rsidRDefault="00585D89">
      <w:pPr>
        <w:pStyle w:val="ConsPlusNormal"/>
        <w:jc w:val="center"/>
      </w:pPr>
    </w:p>
    <w:p w:rsidR="00585D89" w:rsidRDefault="00585D89">
      <w:pPr>
        <w:pStyle w:val="ConsPlusNormal"/>
        <w:ind w:firstLine="540"/>
        <w:jc w:val="both"/>
      </w:pPr>
      <w:r>
        <w:t>Департамент недвижимости Минэкономразвития России (далее - Департамент недвижимости), рассмотрев обращение, сообщает.</w:t>
      </w:r>
    </w:p>
    <w:p w:rsidR="00585D89" w:rsidRDefault="00585D8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585D89" w:rsidRDefault="00585D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5D89" w:rsidRDefault="00585D8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85D89" w:rsidRDefault="00585D89">
      <w:pPr>
        <w:pStyle w:val="ConsPlusNormal"/>
        <w:ind w:firstLine="540"/>
        <w:jc w:val="both"/>
      </w:pPr>
      <w:r>
        <w:rPr>
          <w:color w:val="0A2666"/>
        </w:rPr>
        <w:t xml:space="preserve">С 1 января 2017 года Федеральным </w:t>
      </w:r>
      <w:hyperlink r:id="rId6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03.07.2016 N 361-ФЗ внесены существенные изменения в Федеральный </w:t>
      </w:r>
      <w:hyperlink r:id="rId7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от 24.07.2007 N 221-ФЗ, в частности изменено его наименование </w:t>
      </w:r>
      <w:proofErr w:type="gramStart"/>
      <w:r>
        <w:rPr>
          <w:color w:val="0A2666"/>
        </w:rPr>
        <w:t>на</w:t>
      </w:r>
      <w:proofErr w:type="gramEnd"/>
      <w:r>
        <w:rPr>
          <w:color w:val="0A2666"/>
        </w:rPr>
        <w:t xml:space="preserve"> "О кадастровой деятельности". С этого же срока государственный кадастровый учет недвижимого имущества и государственная регистрация прав на недвижимое имущество осуществляются в порядке, установленном Федеральным </w:t>
      </w:r>
      <w:hyperlink r:id="rId8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13.07.2015 N 218-ФЗ.</w:t>
      </w:r>
    </w:p>
    <w:p w:rsidR="00585D89" w:rsidRDefault="00585D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5D89" w:rsidRDefault="00585D89">
      <w:pPr>
        <w:pStyle w:val="ConsPlusNormal"/>
        <w:ind w:firstLine="540"/>
        <w:jc w:val="both"/>
      </w:pPr>
      <w:r>
        <w:t xml:space="preserve">Обращаем внимание, что административного порядка признания незаконными решений, принимаемых органом кадастрового учета,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июля 2007 г. N 221-ФЗ "О государственном кадастре недвижимости" (далее - Закон о кадастре) не предусмотрено.</w:t>
      </w:r>
    </w:p>
    <w:p w:rsidR="00585D89" w:rsidRDefault="00585D89">
      <w:pPr>
        <w:pStyle w:val="ConsPlusNormal"/>
        <w:ind w:firstLine="540"/>
        <w:jc w:val="both"/>
      </w:pPr>
      <w:r>
        <w:t xml:space="preserve">В связи с этим, учитывая положения </w:t>
      </w:r>
      <w:hyperlink r:id="rId10" w:history="1">
        <w:r>
          <w:rPr>
            <w:color w:val="0000FF"/>
          </w:rPr>
          <w:t>статьи 11</w:t>
        </w:r>
      </w:hyperlink>
      <w:r>
        <w:t xml:space="preserve"> Гражданского кодекса Российской Федерации, </w:t>
      </w:r>
      <w:hyperlink r:id="rId11" w:history="1">
        <w:r>
          <w:rPr>
            <w:color w:val="0000FF"/>
          </w:rPr>
          <w:t>части 10 статьи 26</w:t>
        </w:r>
      </w:hyperlink>
      <w:r>
        <w:t xml:space="preserve"> Закона о кадастре, урегулирование указанных вопросов возможно в судебном порядке.</w:t>
      </w:r>
    </w:p>
    <w:p w:rsidR="00585D89" w:rsidRDefault="00585D89">
      <w:pPr>
        <w:pStyle w:val="ConsPlusNormal"/>
        <w:ind w:firstLine="540"/>
        <w:jc w:val="both"/>
      </w:pPr>
      <w:r>
        <w:t>Вместе с тем по затронутым в обращении вопросам полагаем возможным отметить следующее.</w:t>
      </w:r>
    </w:p>
    <w:p w:rsidR="00585D89" w:rsidRDefault="00585D89">
      <w:pPr>
        <w:pStyle w:val="ConsPlusNormal"/>
        <w:ind w:firstLine="540"/>
        <w:jc w:val="both"/>
      </w:pPr>
      <w:r>
        <w:t>По информации, представленной Росреестром:</w:t>
      </w:r>
    </w:p>
    <w:p w:rsidR="00585D89" w:rsidRDefault="00585D89">
      <w:pPr>
        <w:pStyle w:val="ConsPlusNormal"/>
        <w:ind w:firstLine="540"/>
        <w:jc w:val="both"/>
      </w:pPr>
      <w:proofErr w:type="gramStart"/>
      <w:r>
        <w:t xml:space="preserve">по результатам рассмотрения заявления о постановке на государственный кадастровый учет объекта недвижимости и представленного с ним технического плана здания органом кадастрового учета принято решение о приостановлении осуществления кадастрового учета в соответствии с </w:t>
      </w:r>
      <w:hyperlink r:id="rId12" w:history="1">
        <w:r>
          <w:rPr>
            <w:color w:val="0000FF"/>
          </w:rPr>
          <w:t>пунктом 5 части 2 статьи 26</w:t>
        </w:r>
      </w:hyperlink>
      <w:r>
        <w:t xml:space="preserve"> Федерального закона от 24 июля 2007 г. N 221-ФЗ "О государственном кадастре недвижимости" (далее - Закон о кадастре);</w:t>
      </w:r>
      <w:proofErr w:type="gramEnd"/>
    </w:p>
    <w:p w:rsidR="00585D89" w:rsidRDefault="00585D89">
      <w:pPr>
        <w:pStyle w:val="ConsPlusNormal"/>
        <w:ind w:firstLine="540"/>
        <w:jc w:val="both"/>
      </w:pPr>
      <w:r>
        <w:t xml:space="preserve">по результатам рассмотрения заявления о постановке на государственный кадастровый учет объекта недвижимости и представленного с ним технического плана здания органом кадастрового учета принято решение о приостановлении осуществления кадастрового учета (далее - Решение) в соответствии с </w:t>
      </w:r>
      <w:hyperlink r:id="rId13" w:history="1">
        <w:r>
          <w:rPr>
            <w:color w:val="0000FF"/>
          </w:rPr>
          <w:t>пунктом 1 части 2 статьи 26</w:t>
        </w:r>
      </w:hyperlink>
      <w:r>
        <w:t xml:space="preserve"> Закона о кадастре.</w:t>
      </w:r>
    </w:p>
    <w:p w:rsidR="00585D89" w:rsidRDefault="00585D89">
      <w:pPr>
        <w:pStyle w:val="ConsPlusNormal"/>
        <w:ind w:firstLine="540"/>
        <w:jc w:val="both"/>
      </w:pPr>
      <w:proofErr w:type="gramStart"/>
      <w:r>
        <w:t>В обоих указанных случаях органом кадастрового учета выявлено несоответствие сведений об объекте недвижимости, содержащихся в разделах текстовой и графической частей технического плана здания.</w:t>
      </w:r>
      <w:proofErr w:type="gramEnd"/>
    </w:p>
    <w:p w:rsidR="00585D89" w:rsidRDefault="00585D89">
      <w:pPr>
        <w:pStyle w:val="ConsPlusNormal"/>
        <w:ind w:firstLine="540"/>
        <w:jc w:val="both"/>
      </w:pPr>
      <w:r>
        <w:t xml:space="preserve">Вместе с тем, по мнению Департамента недвижимости, во втором рассмотренном случае в Решении некорректно указано положение </w:t>
      </w:r>
      <w:hyperlink r:id="rId14" w:history="1">
        <w:r>
          <w:rPr>
            <w:color w:val="0000FF"/>
          </w:rPr>
          <w:t>Закона</w:t>
        </w:r>
      </w:hyperlink>
      <w:r>
        <w:t xml:space="preserve"> о кадастре в качестве основания приостановления.</w:t>
      </w:r>
    </w:p>
    <w:p w:rsidR="00585D89" w:rsidRDefault="00585D89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5" w:history="1">
        <w:r>
          <w:rPr>
            <w:color w:val="0000FF"/>
          </w:rPr>
          <w:t>пункту 1 части 2 статьи 26</w:t>
        </w:r>
      </w:hyperlink>
      <w:r>
        <w:t xml:space="preserve"> Закона о кадастре осуществление государственного кадастрового учета приостанавливается, если имеются противоречия между сведениями об </w:t>
      </w:r>
      <w:r>
        <w:lastRenderedPageBreak/>
        <w:t>объекте недвижимости, содержащимися в представленных заявителем для осуществления такого государственного кадастрового учета документах, и кадастровыми сведениями о данном объекте недвижимости (за исключением случаев, если при осуществлении такого кадастрового учета вносятся изменения в указанные кадастровые сведения).</w:t>
      </w:r>
      <w:proofErr w:type="gramEnd"/>
    </w:p>
    <w:p w:rsidR="00585D89" w:rsidRDefault="00585D89">
      <w:pPr>
        <w:pStyle w:val="ConsPlusNormal"/>
        <w:ind w:firstLine="540"/>
        <w:jc w:val="both"/>
      </w:pPr>
      <w:r>
        <w:t xml:space="preserve">При этом, как указано выше, Решение было принято в результате рассмотрения заявления о постановке на государственный кадастровый учет объекта недвижимости. Учитывая положения </w:t>
      </w:r>
      <w:hyperlink r:id="rId16" w:history="1">
        <w:r>
          <w:rPr>
            <w:color w:val="0000FF"/>
          </w:rPr>
          <w:t>части 1 статьи 4</w:t>
        </w:r>
      </w:hyperlink>
      <w:r>
        <w:t xml:space="preserve">, </w:t>
      </w:r>
      <w:hyperlink r:id="rId17" w:history="1">
        <w:r>
          <w:rPr>
            <w:color w:val="0000FF"/>
          </w:rPr>
          <w:t>части 1 статьи 16</w:t>
        </w:r>
      </w:hyperlink>
      <w:r>
        <w:t xml:space="preserve"> Закона о кадастре, на момент постановки на государственный кадастровый учет объекта недвижимости в государственном кадастре недвижимости отсутствуют кадастровые сведения о таком объекте недвижимости.</w:t>
      </w:r>
    </w:p>
    <w:p w:rsidR="00585D89" w:rsidRDefault="00585D89">
      <w:pPr>
        <w:pStyle w:val="ConsPlusNormal"/>
        <w:ind w:firstLine="540"/>
        <w:jc w:val="both"/>
      </w:pPr>
      <w:r>
        <w:t xml:space="preserve">Исходя из комплексного анализа положений </w:t>
      </w:r>
      <w:hyperlink r:id="rId18" w:history="1">
        <w:r>
          <w:rPr>
            <w:color w:val="0000FF"/>
          </w:rPr>
          <w:t>Требований</w:t>
        </w:r>
      </w:hyperlink>
      <w:r>
        <w:t xml:space="preserve"> к подготовке технического плана здания, утвержденных приказом Минэкономразвития России от 1 сентября 2010 г. N 403 (далее - Требования), сведения, содержащиеся в разделах текстовой части технического плана, должны соответствовать сведениям, содержащимся в разделах графической части технического плана.</w:t>
      </w:r>
    </w:p>
    <w:p w:rsidR="00585D89" w:rsidRDefault="00585D89">
      <w:pPr>
        <w:pStyle w:val="ConsPlusNormal"/>
        <w:ind w:firstLine="540"/>
        <w:jc w:val="both"/>
      </w:pPr>
      <w:r>
        <w:t xml:space="preserve">Согласно </w:t>
      </w:r>
      <w:hyperlink r:id="rId19" w:history="1">
        <w:r>
          <w:rPr>
            <w:color w:val="0000FF"/>
          </w:rPr>
          <w:t>пункту 45</w:t>
        </w:r>
      </w:hyperlink>
      <w:r>
        <w:t xml:space="preserve"> Требований в случаях, когда, по мнению кадастрового инженера, необходимо дополнительное обоснование результатов кадастровых работ, в состав технического плана включается раздел "Заключение кадастрового инженера", в котором приводятся результаты необходимых измерений и расчетов, предложения кадастрового инженера по устранению выявленных ошибок (при их наличии).</w:t>
      </w:r>
    </w:p>
    <w:p w:rsidR="00585D89" w:rsidRDefault="00585D89">
      <w:pPr>
        <w:pStyle w:val="ConsPlusNormal"/>
        <w:ind w:firstLine="540"/>
        <w:jc w:val="both"/>
      </w:pPr>
      <w:r>
        <w:t xml:space="preserve">Таким образом, если в ходе кадастровых работ установлено, что фактическое местоположение здания относительно границ земельного участка будет не соответствовать таким сведениям при внесении их в государственный кадастр недвижимости (то есть в государственном кадастре недвижимости содержится техническая или кадастровая ошибка в сведениях о местоположении границ такого земельного </w:t>
      </w:r>
      <w:proofErr w:type="gramStart"/>
      <w:r>
        <w:t>участка</w:t>
      </w:r>
      <w:proofErr w:type="gramEnd"/>
      <w:r>
        <w:t xml:space="preserve"> либо смежного земельного участка), по мнению Департамента недвижимости, в соответствующих разделах технического плана необходимо указывать сведения о фактическом местоположении здания в границах земельного участка, а также в соответствии с </w:t>
      </w:r>
      <w:hyperlink r:id="rId20" w:history="1">
        <w:r>
          <w:rPr>
            <w:color w:val="0000FF"/>
          </w:rPr>
          <w:t>пунктом 45</w:t>
        </w:r>
      </w:hyperlink>
      <w:r>
        <w:t xml:space="preserve"> Требований отразить информацию о таком несоответствии в разделе "Заключение кадастрового инженера" технического плана.</w:t>
      </w:r>
    </w:p>
    <w:p w:rsidR="00585D89" w:rsidRDefault="00585D89">
      <w:pPr>
        <w:pStyle w:val="ConsPlusNormal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в указанном случае орган кадастрового учета при внесении таких сведений в государственный кадастр недвижимости, по мнению Департамента недвижимости, должен исправить техническую ошибку в сведениях государственного кадастра недвижимости либо, при отсутствии технической ошибки, принять предусмотренное </w:t>
      </w:r>
      <w:hyperlink r:id="rId21" w:history="1">
        <w:r>
          <w:rPr>
            <w:color w:val="0000FF"/>
          </w:rPr>
          <w:t>частью 5 статьи 28</w:t>
        </w:r>
      </w:hyperlink>
      <w:r>
        <w:t xml:space="preserve"> Закона о кадастре решение о необходимости устранения кадастровой ошибки и направить его заинтересованным лицам или в соответствующие органы для исправления такой ошибки в установленном </w:t>
      </w:r>
      <w:hyperlink r:id="rId22" w:history="1">
        <w:r>
          <w:rPr>
            <w:color w:val="0000FF"/>
          </w:rPr>
          <w:t>частью 4 статьи 28</w:t>
        </w:r>
      </w:hyperlink>
      <w:r>
        <w:t xml:space="preserve"> Закона о кадастре порядке.</w:t>
      </w:r>
    </w:p>
    <w:p w:rsidR="00585D89" w:rsidRDefault="00585D89">
      <w:pPr>
        <w:pStyle w:val="ConsPlusNormal"/>
        <w:ind w:firstLine="540"/>
        <w:jc w:val="both"/>
      </w:pPr>
      <w:r>
        <w:t>Необходимо отметить, что позиция Росреестра по указанному вопросу совпадает с мнением Департамента недвижимости.</w:t>
      </w:r>
    </w:p>
    <w:p w:rsidR="00585D89" w:rsidRDefault="00585D89">
      <w:pPr>
        <w:pStyle w:val="ConsPlusNormal"/>
        <w:ind w:firstLine="540"/>
        <w:jc w:val="both"/>
      </w:pPr>
      <w:r>
        <w:t xml:space="preserve">Технические или кадастровые ошибки в сведениях о местоположении границ земельных участков исправляются в порядке, предусмотренном </w:t>
      </w:r>
      <w:hyperlink r:id="rId23" w:history="1">
        <w:r>
          <w:rPr>
            <w:color w:val="0000FF"/>
          </w:rPr>
          <w:t>статьей 28</w:t>
        </w:r>
      </w:hyperlink>
      <w:r>
        <w:t xml:space="preserve"> Закона о кадастре.</w:t>
      </w:r>
    </w:p>
    <w:p w:rsidR="00585D89" w:rsidRDefault="00585D89">
      <w:pPr>
        <w:pStyle w:val="ConsPlusNormal"/>
        <w:ind w:firstLine="540"/>
        <w:jc w:val="both"/>
      </w:pPr>
      <w:r>
        <w:t xml:space="preserve">Кроме того, в соответствии с </w:t>
      </w:r>
      <w:hyperlink r:id="rId24" w:history="1">
        <w:r>
          <w:rPr>
            <w:color w:val="0000FF"/>
          </w:rPr>
          <w:t>частью 3.1 статьи 25</w:t>
        </w:r>
      </w:hyperlink>
      <w:r>
        <w:t xml:space="preserve"> Закона о </w:t>
      </w:r>
      <w:proofErr w:type="gramStart"/>
      <w:r>
        <w:t>кадастре</w:t>
      </w:r>
      <w:proofErr w:type="gramEnd"/>
      <w:r>
        <w:t xml:space="preserve"> если при постановке на государственный кадастровый учет или при государственном кадастровом учете изменений земельного участка в связи с уточнением части границ земельного участка, которая одновременно является частью границ других земельных участков (далее - смежные земельные участки), и (или) изменением площади земельного участка требуется внесение изменений в сведения государственного кадастра недвижимости о смежных с ним земельных участках, орган кадастрового учета одновременно с осуществлением кадастрового учета вносит соответствующие изменения в сведения государственного кадастра недвижимости о местоположении границ и площади таких смежных земельных участков. При этом представление дополнительных заявлений о внесении изменений в сведения государственного кадастра недвижимости в отношении смежных земельных участков не требуется. В указанном случае местоположение границ земельных участков считается согласованным только при наличии в акте </w:t>
      </w:r>
      <w:proofErr w:type="gramStart"/>
      <w:r>
        <w:t>согласования местоположения границ личных подписей всех заинтересованных лиц</w:t>
      </w:r>
      <w:proofErr w:type="gramEnd"/>
      <w:r>
        <w:t xml:space="preserve"> или их представителей. В случае</w:t>
      </w:r>
      <w:proofErr w:type="gramStart"/>
      <w:r>
        <w:t>,</w:t>
      </w:r>
      <w:proofErr w:type="gramEnd"/>
      <w:r>
        <w:t xml:space="preserve"> если площадь земельного участка, границы которого уточняются в ходе кадастровых работ, соответствует утвержденным в соответствии с земельным законодательством нормам отвода земель и на этом земельном участке находятся здание, сооружение, объект </w:t>
      </w:r>
      <w:r>
        <w:lastRenderedPageBreak/>
        <w:t xml:space="preserve">незавершенного строительства, принадлежащие правообладателю этого земельного участка, местоположение границ земельных участков считается согласованным в случаях, указанных в </w:t>
      </w:r>
      <w:hyperlink r:id="rId25" w:history="1">
        <w:r>
          <w:rPr>
            <w:color w:val="0000FF"/>
          </w:rPr>
          <w:t>статье 40</w:t>
        </w:r>
      </w:hyperlink>
      <w:r>
        <w:t xml:space="preserve"> Закона о кадастре.</w:t>
      </w:r>
    </w:p>
    <w:p w:rsidR="00585D89" w:rsidRDefault="00585D89">
      <w:pPr>
        <w:pStyle w:val="ConsPlusNormal"/>
        <w:ind w:firstLine="540"/>
        <w:jc w:val="both"/>
      </w:pPr>
      <w:r>
        <w:t>В дополнение сообщаем, что позиция Департамента недвижимости по вопросу заполнения технического плана в случае выявления при выполнении кадастровых работ несоответствия фактического расположения здания на определенном земельном участке содержится в письме от 14 марта 2013 г. N ОГ-Д23-1240 (размещено на официальном сайте Минэкономразвития России).</w:t>
      </w:r>
    </w:p>
    <w:p w:rsidR="00585D89" w:rsidRDefault="00585D89">
      <w:pPr>
        <w:pStyle w:val="ConsPlusNormal"/>
        <w:ind w:firstLine="540"/>
        <w:jc w:val="both"/>
      </w:pPr>
    </w:p>
    <w:p w:rsidR="00585D89" w:rsidRDefault="00585D89">
      <w:pPr>
        <w:pStyle w:val="ConsPlusNormal"/>
        <w:ind w:firstLine="540"/>
        <w:jc w:val="both"/>
      </w:pPr>
    </w:p>
    <w:p w:rsidR="00585D89" w:rsidRDefault="00585D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7990" w:rsidRDefault="00AB7990"/>
    <w:sectPr w:rsidR="00AB7990" w:rsidSect="00C3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585D89"/>
    <w:rsid w:val="002B2013"/>
    <w:rsid w:val="00585D89"/>
    <w:rsid w:val="00AB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5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5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967A09EBF4D94CFF9F6C0EA8F5E7ACA0DC68B0669E805C478D20DBE8DD198A5EB01F6BE2FF6D05DF6EG" TargetMode="External"/><Relationship Id="rId13" Type="http://schemas.openxmlformats.org/officeDocument/2006/relationships/hyperlink" Target="consultantplus://offline/ref=64967A09EBF4D94CFF9F6C0EA8F5E7ACA3D760BD6092805C478D20DBE8DD198A5EB01F6BE2FF6E0EDF6AG" TargetMode="External"/><Relationship Id="rId18" Type="http://schemas.openxmlformats.org/officeDocument/2006/relationships/hyperlink" Target="consultantplus://offline/ref=64967A09EBF4D94CFF9F6C0EA8F5E7ACA3D76BBE6F9D805C478D20DBE8DD198A5EB01F6BE5DF6D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967A09EBF4D94CFF9F6C0EA8F5E7ACA3D760BD6092805C478D20DBE8DD198A5EB01F68E7DF67G" TargetMode="External"/><Relationship Id="rId7" Type="http://schemas.openxmlformats.org/officeDocument/2006/relationships/hyperlink" Target="consultantplus://offline/ref=64967A09EBF4D94CFF9F6C0EA8F5E7ACA0DE68BC6398805C478D20DBE8DD6DG" TargetMode="External"/><Relationship Id="rId12" Type="http://schemas.openxmlformats.org/officeDocument/2006/relationships/hyperlink" Target="consultantplus://offline/ref=64967A09EBF4D94CFF9F6C0EA8F5E7ACA3D760BD6092805C478D20DBE8DD198A5EB01F68E1DF67G" TargetMode="External"/><Relationship Id="rId17" Type="http://schemas.openxmlformats.org/officeDocument/2006/relationships/hyperlink" Target="consultantplus://offline/ref=64967A09EBF4D94CFF9F6C0EA8F5E7ACA3D760BD6092805C478D20DBE8DD198A5EB01F68E2DF6FG" TargetMode="External"/><Relationship Id="rId25" Type="http://schemas.openxmlformats.org/officeDocument/2006/relationships/hyperlink" Target="consultantplus://offline/ref=64967A09EBF4D94CFF9F6C0EA8F5E7ACA3D760BD6092805C478D20DBE8DD198A5EB01F6BE2FF6F05DF6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967A09EBF4D94CFF9F6C0EA8F5E7ACA3D760BD6092805C478D20DBE8DD198A5EB01F6BE2FF6C0EDF6AG" TargetMode="External"/><Relationship Id="rId20" Type="http://schemas.openxmlformats.org/officeDocument/2006/relationships/hyperlink" Target="consultantplus://offline/ref=64967A09EBF4D94CFF9F6C0EA8F5E7ACA3D76BBE6F9D805C478D20DBE8DD198A5EB01F69E4DF6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967A09EBF4D94CFF9F6C0EA8F5E7ACA0DC68BE619C805C478D20DBE8DD198A5EB01F6BE2FF6F0BDF6CG" TargetMode="External"/><Relationship Id="rId11" Type="http://schemas.openxmlformats.org/officeDocument/2006/relationships/hyperlink" Target="consultantplus://offline/ref=64967A09EBF4D94CFF9F6C0EA8F5E7ACA3D760BD6092805C478D20DBE8DD198A5EB01F68E6DF6AG" TargetMode="External"/><Relationship Id="rId24" Type="http://schemas.openxmlformats.org/officeDocument/2006/relationships/hyperlink" Target="consultantplus://offline/ref=64967A09EBF4D94CFF9F6C0EA8F5E7ACA3D760BD6092805C478D20DBE8DD198A5EB01F68E0DF66G" TargetMode="External"/><Relationship Id="rId5" Type="http://schemas.openxmlformats.org/officeDocument/2006/relationships/hyperlink" Target="consultantplus://offline/ref=64967A09EBF4D94CFF9F6C0EA8F5E7ACA0DC6BBE6E9D805C478D20DBE8DD198A5EB01F6BE2FF6C0DDF67G" TargetMode="External"/><Relationship Id="rId15" Type="http://schemas.openxmlformats.org/officeDocument/2006/relationships/hyperlink" Target="consultantplus://offline/ref=64967A09EBF4D94CFF9F6C0EA8F5E7ACA3D760BD6092805C478D20DBE8DD198A5EB01F6BE2FF6E0EDF6AG" TargetMode="External"/><Relationship Id="rId23" Type="http://schemas.openxmlformats.org/officeDocument/2006/relationships/hyperlink" Target="consultantplus://offline/ref=64967A09EBF4D94CFF9F6C0EA8F5E7ACA3D760BD6092805C478D20DBE8DD198A5EB01F6BE2FF6E0ADF6AG" TargetMode="External"/><Relationship Id="rId10" Type="http://schemas.openxmlformats.org/officeDocument/2006/relationships/hyperlink" Target="consultantplus://offline/ref=64967A09EBF4D94CFF9F6C0EA8F5E7ACA0DC69B16E9F805C478D20DBE8DD198A5EB01F6BE2FF6C0ADF66G" TargetMode="External"/><Relationship Id="rId19" Type="http://schemas.openxmlformats.org/officeDocument/2006/relationships/hyperlink" Target="consultantplus://offline/ref=64967A09EBF4D94CFF9F6C0EA8F5E7ACA3D76BBE6F9D805C478D20DBE8DD198A5EB01F69E4DF6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4967A09EBF4D94CFF9F6C0EA8F5E7ACA3D760BD6092805C478D20DBE8DD6DG" TargetMode="External"/><Relationship Id="rId14" Type="http://schemas.openxmlformats.org/officeDocument/2006/relationships/hyperlink" Target="consultantplus://offline/ref=64967A09EBF4D94CFF9F6C0EA8F5E7ACA3D760BD6092805C478D20DBE8DD6DG" TargetMode="External"/><Relationship Id="rId22" Type="http://schemas.openxmlformats.org/officeDocument/2006/relationships/hyperlink" Target="consultantplus://offline/ref=64967A09EBF4D94CFF9F6C0EA8F5E7ACA3D760BD6092805C478D20DBE8DD198A5EB01F6BE2FF690DDF6F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1594</Words>
  <Characters>9089</Characters>
  <Application>Microsoft Office Word</Application>
  <DocSecurity>0</DocSecurity>
  <Lines>75</Lines>
  <Paragraphs>21</Paragraphs>
  <ScaleCrop>false</ScaleCrop>
  <Company/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ruslanrn</dc:creator>
  <cp:keywords/>
  <dc:description/>
  <cp:lastModifiedBy>ruslanrn</cp:lastModifiedBy>
  <cp:revision>1</cp:revision>
  <dcterms:created xsi:type="dcterms:W3CDTF">2017-10-03T06:58:00Z</dcterms:created>
  <dcterms:modified xsi:type="dcterms:W3CDTF">2017-10-03T06:58:00Z</dcterms:modified>
</cp:coreProperties>
</file>